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1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shd w:fill="ee81bd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Routines and Procedures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3.1, 3.2)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8d9dc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Established routines and procedures exist but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may be unclear to students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and are exclusively managed by the teacher.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Established routines and procedures are clear to students and are exclusively managed by the teacher.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Established routines and procedures maximize instructional time and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sometimes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managed by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Established routines and procedures maximize instructional time and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co-created with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and managed largely by students,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490"/>
        <w:tblGridChange w:id="0">
          <w:tblGrid>
            <w:gridCol w:w="5395"/>
            <w:gridCol w:w="54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9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Raleway" w:cs="Raleway" w:eastAsia="Raleway" w:hAnsi="Raleway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Students enter the classroom to sit and wait for directions/first activity, and to learn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expectations for the day and what materials they will need for the lesson.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Teacher pauses the class during transitions and informs students where to go, when, and in what manner (transitions).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highlight w:val="white"/>
                <w:rtl w:val="0"/>
              </w:rPr>
              <w:t xml:space="preserve">Routines, procedures and directions may not be posted in the classroom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 and are only told to students at the beginning of the lesson.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Directions might be out of sequence, incomplete, and/or hard to follow.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highlight w:val="white"/>
                <w:rtl w:val="0"/>
              </w:rPr>
              <w:t xml:space="preserve">Classroom setup makes it hard for students to move around efficiently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 and without disruption to other students and/or the teacher.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Teacher manages most equipment, materials and supplies for students. Students do not have roles and responsibilities.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highlight w:val="white"/>
                <w:rtl w:val="0"/>
              </w:rPr>
              <w:t xml:space="preserve">Technology routines are not in place to maximize instructional time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, e.g., students do not know how to access adaptive software such as ST Math independently; instructions for students to pick-up and/or return their devices are unclear; students are unsure about how to troubleshoot independently.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When technology/wifi does not work, the teacher stops class and instructional time is lost waiting for next steps.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Raleway" w:cs="Raleway" w:eastAsia="Raleway" w:hAnsi="Raleway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Students enter the classroom and know where to look for directions on first activity.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Nonverbals are used to inform students about expectations and materials needed.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highlight w:val="white"/>
                <w:rtl w:val="0"/>
              </w:rPr>
              <w:t xml:space="preserve">Students do not wait for the teacher to let them know where to go, when, and in what manner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 (transitions).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Routines, procedures and directions are posted in the classroom and/or on a virtual platform for students to reference during a lesson.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Directions are specific, concrete, and sequential.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Furniture allows for students to move around efficiently and without disruption to other students or the teacher.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highlight w:val="white"/>
                <w:rtl w:val="0"/>
              </w:rPr>
              <w:t xml:space="preserve">Students take an active role in supporting an organized, safe classroom by assisting with transitions, equipment, materials and supplies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 (i.e., students may have assigned class and/or group roles and responsibilities).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2a2a2a"/>
                <w:highlight w:val="white"/>
                <w:rtl w:val="0"/>
              </w:rPr>
              <w:t xml:space="preserve">Technology routines are in place to maximize instructional time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, e.g., students maintain login cards for various academic programs such as iStation and can access accounts without teacher help; students know when, where, and how to pick-up and return devices; students can troubleshoot independently.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When technology/ wifi does not work, teacher maintains composure and students know what to do to continue instruction.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Students support each other in accessing materials, making transitions, and when a challenge arises, they try to solve the problem in an appropriate manner before relying on the teacher for a solution.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What does the teacher do as students arrive in the classroom?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Are instructional materials/ tech ready for use?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What are student responsibilities regarding materials?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Does she/he have instructions on the board or activities for engagement?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How are students guided in the upkeep of the room and learning materials?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How are students recognized during classroom discussion? (online too!)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What level of independence and autonomy do you see in how students begin and transition through activities, and access resources in the classroom?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If you ask students about why they do things a certain way or where resources are they can readily reply.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How is time managed in the classroom?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highlight w:val="white"/>
                <w:rtl w:val="0"/>
              </w:rPr>
              <w:t xml:space="preserve">How does the teacher use routines to create opportunities for autonomy and learning to occur in a personalized way for students?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485775</wp:posOffset>
            </wp:positionV>
            <wp:extent cx="1375410" cy="531495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4457700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first"/>
      <w:footerReference r:id="rId12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color w:val="0000ff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